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02C" w:rsidRPr="00AF502C" w:rsidRDefault="00AF502C" w:rsidP="00AF502C">
      <w:pPr>
        <w:jc w:val="both"/>
        <w:rPr>
          <w:rFonts w:eastAsia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F502C" w:rsidRPr="00AF502C" w:rsidRDefault="00AF502C" w:rsidP="00AF502C">
      <w:pPr>
        <w:autoSpaceDE w:val="0"/>
        <w:autoSpaceDN w:val="0"/>
        <w:jc w:val="center"/>
        <w:rPr>
          <w:rFonts w:eastAsia="Times New Roman" w:cs="Times New Roman"/>
          <w:sz w:val="26"/>
          <w:szCs w:val="26"/>
          <w:lang w:eastAsia="ru-RU"/>
        </w:rPr>
      </w:pPr>
      <w:r w:rsidRPr="00AF502C">
        <w:rPr>
          <w:rFonts w:eastAsia="Times New Roman" w:cs="Times New Roman"/>
          <w:sz w:val="26"/>
          <w:szCs w:val="26"/>
          <w:lang w:eastAsia="ru-RU"/>
        </w:rPr>
        <w:t>Годовая отчетность о результатах деятельности субъекта внутреннего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948"/>
        <w:gridCol w:w="397"/>
        <w:gridCol w:w="340"/>
      </w:tblGrid>
      <w:tr w:rsidR="00AF502C" w:rsidRPr="00AF502C" w:rsidTr="006B7619">
        <w:trPr>
          <w:jc w:val="center"/>
        </w:trPr>
        <w:tc>
          <w:tcPr>
            <w:tcW w:w="2948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AF502C">
              <w:rPr>
                <w:rFonts w:eastAsia="Times New Roman" w:cs="Times New Roman"/>
                <w:sz w:val="26"/>
                <w:szCs w:val="26"/>
                <w:lang w:eastAsia="ru-RU"/>
              </w:rPr>
              <w:t>финансового аудита за 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061213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22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ind w:left="57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proofErr w:type="gramStart"/>
            <w:r w:rsidRPr="00AF502C">
              <w:rPr>
                <w:rFonts w:eastAsia="Times New Roman" w:cs="Times New Roman"/>
                <w:sz w:val="26"/>
                <w:szCs w:val="26"/>
                <w:lang w:eastAsia="ru-RU"/>
              </w:rPr>
              <w:t>г</w:t>
            </w:r>
            <w:proofErr w:type="gramEnd"/>
            <w:r w:rsidRPr="00AF502C">
              <w:rPr>
                <w:rFonts w:eastAsia="Times New Roman" w:cs="Times New Roman"/>
                <w:sz w:val="26"/>
                <w:szCs w:val="26"/>
                <w:lang w:eastAsia="ru-RU"/>
              </w:rPr>
              <w:t>.</w:t>
            </w:r>
          </w:p>
        </w:tc>
      </w:tr>
    </w:tbl>
    <w:p w:rsidR="00AF502C" w:rsidRDefault="00AF502C" w:rsidP="00AF502C">
      <w:pPr>
        <w:autoSpaceDE w:val="0"/>
        <w:autoSpaceDN w:val="0"/>
        <w:spacing w:before="36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1. Информация о выполнении плана проведения аудиторских мероприятий:</w:t>
      </w:r>
      <w:r w:rsidRPr="00AF502C">
        <w:rPr>
          <w:rFonts w:eastAsia="Times New Roman" w:cs="Times New Roman"/>
          <w:sz w:val="24"/>
          <w:szCs w:val="24"/>
          <w:lang w:eastAsia="ru-RU"/>
        </w:rPr>
        <w:br/>
      </w:r>
      <w:r w:rsidR="00061213" w:rsidRPr="00061213">
        <w:rPr>
          <w:rFonts w:eastAsia="Times New Roman" w:cs="Times New Roman"/>
          <w:sz w:val="24"/>
          <w:szCs w:val="24"/>
          <w:lang w:eastAsia="ru-RU"/>
        </w:rPr>
        <w:t>количество плановых аудиторских мероприятий</w:t>
      </w:r>
      <w:r w:rsidR="00061213">
        <w:rPr>
          <w:rFonts w:eastAsia="Times New Roman" w:cs="Times New Roman"/>
          <w:sz w:val="24"/>
          <w:szCs w:val="24"/>
          <w:lang w:eastAsia="ru-RU"/>
        </w:rPr>
        <w:t xml:space="preserve"> – 1 </w:t>
      </w:r>
    </w:p>
    <w:p w:rsidR="00061213" w:rsidRPr="00AF502C" w:rsidRDefault="00061213" w:rsidP="00061213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>количество аудиторских мероприятий</w:t>
      </w:r>
      <w:r>
        <w:rPr>
          <w:rFonts w:eastAsia="Times New Roman" w:cs="Times New Roman"/>
          <w:sz w:val="24"/>
          <w:szCs w:val="24"/>
          <w:lang w:eastAsia="ru-RU"/>
        </w:rPr>
        <w:t xml:space="preserve"> – 1 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502C">
        <w:rPr>
          <w:rFonts w:eastAsia="Times New Roman" w:cs="Times New Roman"/>
          <w:sz w:val="20"/>
          <w:szCs w:val="20"/>
          <w:lang w:eastAsia="ru-RU"/>
        </w:rPr>
        <w:t>(количество плановых аудиторских мероприятий, количество аудиторских мероприятий, проведенных в рамках переданных полномочий по осуществлению внутреннего финансового аудита (при наличии), информация о внесении изменений в план проведения аудиторских мероприятий в течение отчетного финансового года,</w:t>
      </w:r>
      <w:r w:rsidRPr="00AF502C">
        <w:rPr>
          <w:rFonts w:eastAsia="Times New Roman" w:cs="Times New Roman"/>
          <w:sz w:val="20"/>
          <w:szCs w:val="20"/>
          <w:lang w:eastAsia="ru-RU"/>
        </w:rPr>
        <w:br/>
        <w:t>а в случае невыполнения плана – информация о причинах его невыполнения)</w:t>
      </w: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2. Информация о количестве и темах проведенных внеплановых аудиторских мероприятий:</w:t>
      </w:r>
      <w:proofErr w:type="gramStart"/>
      <w:r w:rsidRPr="00AF502C">
        <w:rPr>
          <w:rFonts w:eastAsia="Times New Roman" w:cs="Times New Roman"/>
          <w:sz w:val="24"/>
          <w:szCs w:val="24"/>
          <w:lang w:eastAsia="ru-RU"/>
        </w:rPr>
        <w:br/>
      </w:r>
      <w:r w:rsidR="00061213">
        <w:rPr>
          <w:rFonts w:eastAsia="Times New Roman" w:cs="Times New Roman"/>
          <w:sz w:val="24"/>
          <w:szCs w:val="24"/>
          <w:lang w:eastAsia="ru-RU"/>
        </w:rPr>
        <w:t>-</w:t>
      </w:r>
      <w:proofErr w:type="gramEnd"/>
      <w:r w:rsidR="004701EE" w:rsidRPr="004701EE">
        <w:rPr>
          <w:rFonts w:eastAsia="Times New Roman" w:cs="Times New Roman"/>
          <w:sz w:val="24"/>
          <w:szCs w:val="24"/>
          <w:lang w:eastAsia="ru-RU"/>
        </w:rPr>
        <w:t>внеплановые аудиторские мероприятия не проводились.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502C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3. Информация о степени надежности внутреннего финансового контроля:</w:t>
      </w:r>
      <w:r w:rsidRPr="00AF502C">
        <w:rPr>
          <w:rFonts w:eastAsia="Times New Roman" w:cs="Times New Roman"/>
          <w:sz w:val="24"/>
          <w:szCs w:val="24"/>
          <w:lang w:eastAsia="ru-RU"/>
        </w:rPr>
        <w:br/>
      </w:r>
      <w:r w:rsidR="00D56726" w:rsidRPr="00D56726">
        <w:rPr>
          <w:rFonts w:eastAsia="Times New Roman" w:cs="Times New Roman"/>
          <w:sz w:val="24"/>
          <w:szCs w:val="24"/>
          <w:lang w:eastAsia="ru-RU"/>
        </w:rPr>
        <w:t xml:space="preserve">внутренний Финансовый </w:t>
      </w:r>
      <w:r w:rsidR="00D56726">
        <w:rPr>
          <w:rFonts w:eastAsia="Times New Roman" w:cs="Times New Roman"/>
          <w:sz w:val="24"/>
          <w:szCs w:val="24"/>
          <w:lang w:eastAsia="ru-RU"/>
        </w:rPr>
        <w:t>контроль</w:t>
      </w:r>
      <w:r w:rsidR="00D56726" w:rsidRPr="00D56726">
        <w:rPr>
          <w:rFonts w:eastAsia="Times New Roman" w:cs="Times New Roman"/>
          <w:sz w:val="24"/>
          <w:szCs w:val="24"/>
          <w:lang w:eastAsia="ru-RU"/>
        </w:rPr>
        <w:t xml:space="preserve"> оценен, как достаточно надежный.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4. Информация о достоверности (недостоверности) сформированной бюджетной отчетности:</w:t>
      </w:r>
      <w:r w:rsidRPr="00AF502C">
        <w:rPr>
          <w:rFonts w:eastAsia="Times New Roman" w:cs="Times New Roman"/>
          <w:sz w:val="24"/>
          <w:szCs w:val="24"/>
          <w:lang w:eastAsia="ru-RU"/>
        </w:rPr>
        <w:br/>
      </w:r>
      <w:r w:rsidR="00D56726" w:rsidRPr="00D56726">
        <w:rPr>
          <w:rFonts w:eastAsia="Times New Roman" w:cs="Times New Roman"/>
          <w:sz w:val="24"/>
          <w:szCs w:val="24"/>
          <w:lang w:eastAsia="ru-RU"/>
        </w:rPr>
        <w:t>годовая бюджетная отчетность</w:t>
      </w:r>
      <w:r w:rsidR="00D56726">
        <w:rPr>
          <w:rFonts w:eastAsia="Times New Roman" w:cs="Times New Roman"/>
          <w:sz w:val="24"/>
          <w:szCs w:val="24"/>
          <w:lang w:eastAsia="ru-RU"/>
        </w:rPr>
        <w:t xml:space="preserve"> за 2022 год достоверна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5. Информация о результатах оценки исполнения бюджетных полномочий:</w:t>
      </w:r>
      <w:r w:rsidRPr="00AF502C">
        <w:rPr>
          <w:rFonts w:eastAsia="Times New Roman" w:cs="Times New Roman"/>
          <w:sz w:val="24"/>
          <w:szCs w:val="24"/>
          <w:lang w:eastAsia="ru-RU"/>
        </w:rPr>
        <w:br/>
      </w:r>
      <w:r w:rsidR="00D56726" w:rsidRPr="00D56726">
        <w:rPr>
          <w:rFonts w:eastAsia="Times New Roman" w:cs="Times New Roman"/>
          <w:sz w:val="24"/>
          <w:szCs w:val="24"/>
          <w:lang w:eastAsia="ru-RU"/>
        </w:rPr>
        <w:t xml:space="preserve">бюджетные полномочия, выполняемые субъектом бюджетных процедур в соответствии с </w:t>
      </w:r>
      <w:r w:rsidR="00D56726">
        <w:rPr>
          <w:rFonts w:eastAsia="Times New Roman" w:cs="Times New Roman"/>
          <w:sz w:val="24"/>
          <w:szCs w:val="24"/>
          <w:lang w:eastAsia="ru-RU"/>
        </w:rPr>
        <w:t>пунктом</w:t>
      </w:r>
      <w:r w:rsidR="00D56726" w:rsidRPr="00D56726">
        <w:rPr>
          <w:rFonts w:eastAsia="Times New Roman" w:cs="Times New Roman"/>
          <w:sz w:val="24"/>
          <w:szCs w:val="24"/>
          <w:lang w:eastAsia="ru-RU"/>
        </w:rPr>
        <w:t xml:space="preserve"> 1 статьи 154 Бюджетного кодекса РФ</w:t>
      </w:r>
      <w:proofErr w:type="gramStart"/>
      <w:r w:rsidR="00D56726" w:rsidRPr="00D56726">
        <w:rPr>
          <w:rFonts w:eastAsia="Times New Roman" w:cs="Times New Roman"/>
          <w:sz w:val="24"/>
          <w:szCs w:val="24"/>
          <w:lang w:eastAsia="ru-RU"/>
        </w:rPr>
        <w:t>.</w:t>
      </w:r>
      <w:proofErr w:type="gramEnd"/>
      <w:r w:rsidR="00D56726" w:rsidRPr="00D56726">
        <w:rPr>
          <w:rFonts w:eastAsia="Times New Roman" w:cs="Times New Roman"/>
          <w:sz w:val="24"/>
          <w:szCs w:val="24"/>
          <w:lang w:eastAsia="ru-RU"/>
        </w:rPr>
        <w:t xml:space="preserve"> </w:t>
      </w:r>
      <w:proofErr w:type="gramStart"/>
      <w:r w:rsidR="00D56726" w:rsidRPr="00D56726">
        <w:rPr>
          <w:rFonts w:eastAsia="Times New Roman" w:cs="Times New Roman"/>
          <w:sz w:val="24"/>
          <w:szCs w:val="24"/>
          <w:lang w:eastAsia="ru-RU"/>
        </w:rPr>
        <w:t>о</w:t>
      </w:r>
      <w:proofErr w:type="gramEnd"/>
      <w:r w:rsidR="00D56726" w:rsidRPr="00D56726">
        <w:rPr>
          <w:rFonts w:eastAsia="Times New Roman" w:cs="Times New Roman"/>
          <w:sz w:val="24"/>
          <w:szCs w:val="24"/>
          <w:lang w:eastAsia="ru-RU"/>
        </w:rPr>
        <w:t>существляются им в соответствии с действующим бюджетным законодательством Российской Федерации и Федеральными стандартами бухалтерского учета.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502C">
        <w:rPr>
          <w:rFonts w:eastAsia="Times New Roman" w:cs="Times New Roman"/>
          <w:sz w:val="20"/>
          <w:szCs w:val="20"/>
          <w:lang w:eastAsia="ru-RU"/>
        </w:rPr>
        <w:t>(включая информацию о достижении целевых значений показателей качества финансового менеджмента)</w:t>
      </w: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6. Информация о наиболее значимых выводах, предложениях и рекомендациях субъекта внутреннего финансового аудита:</w:t>
      </w:r>
    </w:p>
    <w:p w:rsidR="00061213" w:rsidRPr="00061213" w:rsidRDefault="00061213" w:rsidP="00061213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>усилить контроль:</w:t>
      </w:r>
    </w:p>
    <w:p w:rsidR="00061213" w:rsidRPr="00061213" w:rsidRDefault="00061213" w:rsidP="00061213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>- при подготовке, составлении и исполнении договоров в части недопущения нарушений Федерального закона «О контрактной системе в сфере закупок товаров, работ, услуг для обеспечения государственных и муниципальных нужд» от 05.04.2013 № 44-ФЗ;</w:t>
      </w:r>
    </w:p>
    <w:p w:rsidR="00061213" w:rsidRPr="00061213" w:rsidRDefault="00061213" w:rsidP="00061213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>- за своевременным и достоверным отражением в документах учета (регистрах бухгалтерского учета) поставленного товара, выполненной работы, оказанной услуги;</w:t>
      </w:r>
    </w:p>
    <w:p w:rsidR="00AF502C" w:rsidRPr="00AF502C" w:rsidRDefault="00061213" w:rsidP="00061213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 xml:space="preserve">- за своевременностью проведения инвентаризации имущества и обязательств, проводимой перед составлением бухгалтерской (бюджетной) отчетности и составления акта о результатах инвентаризации, </w:t>
      </w:r>
      <w:proofErr w:type="gramStart"/>
      <w:r w:rsidRPr="00061213">
        <w:rPr>
          <w:rFonts w:eastAsia="Times New Roman" w:cs="Times New Roman"/>
          <w:sz w:val="24"/>
          <w:szCs w:val="24"/>
          <w:lang w:eastAsia="ru-RU"/>
        </w:rPr>
        <w:t>составленный</w:t>
      </w:r>
      <w:proofErr w:type="gramEnd"/>
      <w:r w:rsidRPr="00061213">
        <w:rPr>
          <w:rFonts w:eastAsia="Times New Roman" w:cs="Times New Roman"/>
          <w:sz w:val="24"/>
          <w:szCs w:val="24"/>
          <w:lang w:eastAsia="ru-RU"/>
        </w:rPr>
        <w:t xml:space="preserve"> на основании инвентаризационных описей (сличительных ведомостей), который представляется на рассмотрение и утверждение руководителю учреждения с приложением документов по инвентаризации.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7. Информация о наиболее значимых нарушениях и (или) недостатках, бюджетных рисках, о рисках, остающихся после реализации мер по минимизации (устранению) бюджетных рисков и по организации внутреннего финансового контроля, и их причинах:</w:t>
      </w:r>
    </w:p>
    <w:p w:rsidR="00AF502C" w:rsidRPr="00AF502C" w:rsidRDefault="00061213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061213">
        <w:rPr>
          <w:rFonts w:eastAsia="Times New Roman" w:cs="Times New Roman"/>
          <w:sz w:val="24"/>
          <w:szCs w:val="24"/>
          <w:lang w:eastAsia="ru-RU"/>
        </w:rPr>
        <w:t>Несоблюдение законности и правильности формирования первичных учетных документов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8. Информация о наиболее значимых принятых мерах по повышению качества финансового менеджмента и минимизации (устранению) бюджетных рисков:</w:t>
      </w:r>
    </w:p>
    <w:p w:rsidR="00543DFA" w:rsidRPr="00543DFA" w:rsidRDefault="00543DFA" w:rsidP="00543DFA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DFA">
        <w:rPr>
          <w:rFonts w:eastAsia="Times New Roman" w:cs="Times New Roman"/>
          <w:sz w:val="24"/>
          <w:szCs w:val="24"/>
          <w:lang w:eastAsia="ru-RU"/>
        </w:rPr>
        <w:t>разработк</w:t>
      </w:r>
      <w:r>
        <w:rPr>
          <w:rFonts w:eastAsia="Times New Roman" w:cs="Times New Roman"/>
          <w:sz w:val="24"/>
          <w:szCs w:val="24"/>
          <w:lang w:eastAsia="ru-RU"/>
        </w:rPr>
        <w:t>а</w:t>
      </w:r>
      <w:r w:rsidRPr="00543DFA">
        <w:rPr>
          <w:rFonts w:eastAsia="Times New Roman" w:cs="Times New Roman"/>
          <w:sz w:val="24"/>
          <w:szCs w:val="24"/>
          <w:lang w:eastAsia="ru-RU"/>
        </w:rPr>
        <w:t>, актуализаци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543DFA">
        <w:rPr>
          <w:rFonts w:eastAsia="Times New Roman" w:cs="Times New Roman"/>
          <w:sz w:val="24"/>
          <w:szCs w:val="24"/>
          <w:lang w:eastAsia="ru-RU"/>
        </w:rPr>
        <w:t xml:space="preserve"> нормативных правовых (правовых) актов подведо</w:t>
      </w:r>
      <w:r>
        <w:rPr>
          <w:rFonts w:eastAsia="Times New Roman" w:cs="Times New Roman"/>
          <w:sz w:val="24"/>
          <w:szCs w:val="24"/>
          <w:lang w:eastAsia="ru-RU"/>
        </w:rPr>
        <w:t>мственного казенного учреждения</w:t>
      </w:r>
      <w:r w:rsidRPr="00543DFA">
        <w:rPr>
          <w:rFonts w:eastAsia="Times New Roman" w:cs="Times New Roman"/>
          <w:sz w:val="24"/>
          <w:szCs w:val="24"/>
          <w:lang w:eastAsia="ru-RU"/>
        </w:rPr>
        <w:t xml:space="preserve">, регламентирующих выполнение бюджетных процедур </w:t>
      </w:r>
      <w:proofErr w:type="gramStart"/>
      <w:r w:rsidRPr="00543DFA">
        <w:rPr>
          <w:rFonts w:eastAsia="Times New Roman" w:cs="Times New Roman"/>
          <w:sz w:val="24"/>
          <w:szCs w:val="24"/>
          <w:lang w:eastAsia="ru-RU"/>
        </w:rPr>
        <w:t>и(</w:t>
      </w:r>
      <w:proofErr w:type="gramEnd"/>
      <w:r w:rsidRPr="00543DFA">
        <w:rPr>
          <w:rFonts w:eastAsia="Times New Roman" w:cs="Times New Roman"/>
          <w:sz w:val="24"/>
          <w:szCs w:val="24"/>
          <w:lang w:eastAsia="ru-RU"/>
        </w:rPr>
        <w:t>или) операций (действий) по выполнению бюджетных процедур в рамках финансового менеджмента;</w:t>
      </w:r>
    </w:p>
    <w:p w:rsidR="00543DFA" w:rsidRPr="00543DFA" w:rsidRDefault="00543DFA" w:rsidP="00543DFA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543DFA">
        <w:rPr>
          <w:rFonts w:eastAsia="Times New Roman" w:cs="Times New Roman"/>
          <w:sz w:val="24"/>
          <w:szCs w:val="24"/>
          <w:lang w:eastAsia="ru-RU"/>
        </w:rPr>
        <w:t>организаци</w:t>
      </w:r>
      <w:r>
        <w:rPr>
          <w:rFonts w:eastAsia="Times New Roman" w:cs="Times New Roman"/>
          <w:sz w:val="24"/>
          <w:szCs w:val="24"/>
          <w:lang w:eastAsia="ru-RU"/>
        </w:rPr>
        <w:t>я</w:t>
      </w:r>
      <w:r w:rsidRPr="00543DFA">
        <w:rPr>
          <w:rFonts w:eastAsia="Times New Roman" w:cs="Times New Roman"/>
          <w:sz w:val="24"/>
          <w:szCs w:val="24"/>
          <w:lang w:eastAsia="ru-RU"/>
        </w:rPr>
        <w:t xml:space="preserve"> повышения квалификации сотрудников структурных подразделений подведомственного казенного учреждения</w:t>
      </w:r>
      <w:proofErr w:type="gramStart"/>
      <w:r w:rsidRPr="00543DFA">
        <w:rPr>
          <w:rFonts w:eastAsia="Times New Roman" w:cs="Times New Roman"/>
          <w:sz w:val="24"/>
          <w:szCs w:val="24"/>
          <w:lang w:eastAsia="ru-RU"/>
        </w:rPr>
        <w:t xml:space="preserve"> ,</w:t>
      </w:r>
      <w:proofErr w:type="gramEnd"/>
      <w:r w:rsidRPr="00543DFA">
        <w:rPr>
          <w:rFonts w:eastAsia="Times New Roman" w:cs="Times New Roman"/>
          <w:sz w:val="24"/>
          <w:szCs w:val="24"/>
          <w:lang w:eastAsia="ru-RU"/>
        </w:rPr>
        <w:t xml:space="preserve"> осуществляющих бюджетные процедуры </w:t>
      </w:r>
      <w:r w:rsidRPr="00543DFA">
        <w:rPr>
          <w:rFonts w:eastAsia="Times New Roman" w:cs="Times New Roman"/>
          <w:sz w:val="24"/>
          <w:szCs w:val="24"/>
          <w:lang w:eastAsia="ru-RU"/>
        </w:rPr>
        <w:lastRenderedPageBreak/>
        <w:t>и(или) операции (действия) по выполнению бюджетных процедур в рамках финансового менеджмента, и проведения их переподготовки;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9. </w:t>
      </w:r>
      <w:proofErr w:type="gramStart"/>
      <w:r w:rsidRPr="00AF502C">
        <w:rPr>
          <w:rFonts w:eastAsia="Times New Roman" w:cs="Times New Roman"/>
          <w:sz w:val="24"/>
          <w:szCs w:val="24"/>
          <w:lang w:eastAsia="ru-RU"/>
        </w:rPr>
        <w:t>Информация о примерах (лучших практиках) организации (обеспечения выполнения), выполнения бюджетных процедур и (или) операций (действий) по выполнению бюджетных процедур:</w:t>
      </w:r>
      <w:proofErr w:type="gramEnd"/>
    </w:p>
    <w:p w:rsidR="00AF502C" w:rsidRPr="00AF502C" w:rsidRDefault="00543DFA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502C">
        <w:rPr>
          <w:rFonts w:eastAsia="Times New Roman" w:cs="Times New Roman"/>
          <w:sz w:val="20"/>
          <w:szCs w:val="20"/>
          <w:lang w:eastAsia="ru-RU"/>
        </w:rPr>
        <w:t>(при наличии)</w:t>
      </w: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10. Информация о результатах мониторинга реализации мер по минимизации (устранению) бюджетных рисков:</w:t>
      </w:r>
    </w:p>
    <w:p w:rsidR="00AF502C" w:rsidRPr="00AF502C" w:rsidRDefault="00543DFA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-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11. Описание событий, оказавших существенное влияние на организацию и осуществление внутреннего финансового аудита, а также на деятельность субъекта внутреннего финансового аудита:</w:t>
      </w:r>
    </w:p>
    <w:p w:rsidR="00AF502C" w:rsidRPr="00AF502C" w:rsidRDefault="00D56726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D56726">
        <w:rPr>
          <w:rFonts w:eastAsia="Times New Roman" w:cs="Times New Roman"/>
          <w:sz w:val="24"/>
          <w:szCs w:val="24"/>
          <w:lang w:eastAsia="ru-RU"/>
        </w:rPr>
        <w:t>субъективность суждений, оценок, выводов по результатам аудита, в связи с проведением аудиторского мероприятия одним уполномоченным должностным лицом субъектом аудита, не оказали существенного влияния на организацию и осуществление внутреннего финансового аудита и на деятельность самого субъекта внутреннего Финансового аудита.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jc w:val="left"/>
        <w:rPr>
          <w:rFonts w:eastAsia="Times New Roman" w:cs="Times New Roman"/>
          <w:sz w:val="2"/>
          <w:szCs w:val="2"/>
          <w:lang w:eastAsia="ru-RU"/>
        </w:rPr>
      </w:pPr>
    </w:p>
    <w:p w:rsidR="00AF502C" w:rsidRPr="00AF502C" w:rsidRDefault="00AF502C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12. Сведения о субъекте внутреннего финансового аудита:</w:t>
      </w:r>
    </w:p>
    <w:p w:rsidR="00AF502C" w:rsidRPr="00AF502C" w:rsidRDefault="004701EE" w:rsidP="00AF502C">
      <w:pPr>
        <w:autoSpaceDE w:val="0"/>
        <w:autoSpaceDN w:val="0"/>
        <w:jc w:val="both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Наименование учреждения: управление образования администрации Предгорного муниципального округа Ставропольского края. Штатная численность -25,03 ставки. Фактическая численность – 25 человек. </w:t>
      </w:r>
    </w:p>
    <w:p w:rsidR="00AF502C" w:rsidRPr="00AF502C" w:rsidRDefault="00AF502C" w:rsidP="00AF502C">
      <w:pPr>
        <w:pBdr>
          <w:top w:val="single" w:sz="4" w:space="1" w:color="auto"/>
        </w:pBdr>
        <w:autoSpaceDE w:val="0"/>
        <w:autoSpaceDN w:val="0"/>
        <w:spacing w:after="240"/>
        <w:jc w:val="center"/>
        <w:rPr>
          <w:rFonts w:eastAsia="Times New Roman" w:cs="Times New Roman"/>
          <w:sz w:val="20"/>
          <w:szCs w:val="20"/>
          <w:lang w:eastAsia="ru-RU"/>
        </w:rPr>
      </w:pPr>
      <w:r w:rsidRPr="00AF502C">
        <w:rPr>
          <w:rFonts w:eastAsia="Times New Roman" w:cs="Times New Roman"/>
          <w:sz w:val="20"/>
          <w:szCs w:val="20"/>
          <w:lang w:eastAsia="ru-RU"/>
        </w:rPr>
        <w:t>(в том числе информация о его подчиненности, штатной и фактической численности, а также принятых мерах по повышению квалификации должностного лица (работника) субъекта внутреннего финансового аудита)</w:t>
      </w:r>
    </w:p>
    <w:p w:rsidR="00AF502C" w:rsidRPr="00AF502C" w:rsidRDefault="00AF502C" w:rsidP="00AF502C">
      <w:pPr>
        <w:autoSpaceDE w:val="0"/>
        <w:autoSpaceDN w:val="0"/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  <w:r w:rsidRPr="00AF502C">
        <w:rPr>
          <w:rFonts w:eastAsia="Times New Roman" w:cs="Times New Roman"/>
          <w:sz w:val="24"/>
          <w:szCs w:val="24"/>
          <w:lang w:eastAsia="ru-RU"/>
        </w:rPr>
        <w:t>Руководитель субъекта внутреннего</w:t>
      </w:r>
      <w:r w:rsidRPr="00AF502C">
        <w:rPr>
          <w:rFonts w:eastAsia="Times New Roman" w:cs="Times New Roman"/>
          <w:sz w:val="24"/>
          <w:szCs w:val="24"/>
          <w:lang w:eastAsia="ru-RU"/>
        </w:rPr>
        <w:br/>
        <w:t>финансового аудита</w:t>
      </w:r>
    </w:p>
    <w:tbl>
      <w:tblPr>
        <w:tblW w:w="9980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856"/>
        <w:gridCol w:w="170"/>
        <w:gridCol w:w="1985"/>
        <w:gridCol w:w="170"/>
        <w:gridCol w:w="3799"/>
      </w:tblGrid>
      <w:tr w:rsidR="00AF502C" w:rsidRPr="00AF502C" w:rsidTr="006B7619">
        <w:tc>
          <w:tcPr>
            <w:tcW w:w="38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  <w:tr w:rsidR="00AF502C" w:rsidRPr="00AF502C" w:rsidTr="006B7619">
        <w:tc>
          <w:tcPr>
            <w:tcW w:w="3856" w:type="dxa"/>
            <w:tcBorders>
              <w:top w:val="single" w:sz="4" w:space="0" w:color="auto"/>
            </w:tcBorders>
            <w:shd w:val="clear" w:color="auto" w:fill="auto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02C">
              <w:rPr>
                <w:rFonts w:eastAsia="Times New Roman" w:cs="Times New Roman"/>
                <w:sz w:val="20"/>
                <w:szCs w:val="20"/>
                <w:lang w:eastAsia="ru-RU"/>
              </w:rPr>
              <w:t>(должность)</w:t>
            </w:r>
          </w:p>
        </w:tc>
        <w:tc>
          <w:tcPr>
            <w:tcW w:w="170" w:type="dxa"/>
            <w:shd w:val="clear" w:color="auto" w:fill="auto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  <w:shd w:val="clear" w:color="auto" w:fill="auto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AF502C">
              <w:rPr>
                <w:rFonts w:eastAsia="Times New Roman" w:cs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70" w:type="dxa"/>
            <w:shd w:val="clear" w:color="auto" w:fill="auto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799" w:type="dxa"/>
            <w:tcBorders>
              <w:top w:val="single" w:sz="4" w:space="0" w:color="auto"/>
            </w:tcBorders>
            <w:shd w:val="clear" w:color="auto" w:fill="auto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AF502C">
              <w:rPr>
                <w:rFonts w:eastAsia="Times New Roman" w:cs="Times New Roman"/>
                <w:sz w:val="20"/>
                <w:szCs w:val="20"/>
                <w:lang w:eastAsia="ru-RU"/>
              </w:rPr>
              <w:t>(фамилия, имя, отчество</w:t>
            </w:r>
            <w:r w:rsidRPr="00AF502C">
              <w:rPr>
                <w:rFonts w:eastAsia="Times New Roman" w:cs="Times New Roman"/>
                <w:sz w:val="20"/>
                <w:szCs w:val="20"/>
                <w:lang w:eastAsia="ru-RU"/>
              </w:rPr>
              <w:br/>
              <w:t>(при наличии)</w:t>
            </w:r>
            <w:proofErr w:type="gramEnd"/>
          </w:p>
        </w:tc>
      </w:tr>
    </w:tbl>
    <w:p w:rsidR="00AF502C" w:rsidRPr="00AF502C" w:rsidRDefault="00AF502C" w:rsidP="00AF502C">
      <w:pPr>
        <w:autoSpaceDE w:val="0"/>
        <w:autoSpaceDN w:val="0"/>
        <w:spacing w:after="240"/>
        <w:jc w:val="left"/>
        <w:rPr>
          <w:rFonts w:eastAsia="Times New Roman" w:cs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98"/>
        <w:gridCol w:w="397"/>
        <w:gridCol w:w="255"/>
        <w:gridCol w:w="1418"/>
        <w:gridCol w:w="397"/>
        <w:gridCol w:w="397"/>
        <w:gridCol w:w="284"/>
      </w:tblGrid>
      <w:tr w:rsidR="00AF502C" w:rsidRPr="00AF502C" w:rsidTr="006B7619">
        <w:tc>
          <w:tcPr>
            <w:tcW w:w="198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02C">
              <w:rPr>
                <w:rFonts w:eastAsia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02C"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7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AF502C">
              <w:rPr>
                <w:rFonts w:eastAsia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AF502C" w:rsidRPr="00AF502C" w:rsidRDefault="00AF502C" w:rsidP="00AF502C">
            <w:pPr>
              <w:autoSpaceDE w:val="0"/>
              <w:autoSpaceDN w:val="0"/>
              <w:ind w:left="57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F502C">
              <w:rPr>
                <w:rFonts w:eastAsia="Times New Roman" w:cs="Times New Roman"/>
                <w:sz w:val="24"/>
                <w:szCs w:val="24"/>
                <w:lang w:eastAsia="ru-RU"/>
              </w:rPr>
              <w:t>г</w:t>
            </w:r>
            <w:proofErr w:type="gramEnd"/>
            <w:r w:rsidRPr="00AF502C">
              <w:rPr>
                <w:rFonts w:eastAsia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AF502C" w:rsidRPr="00AF502C" w:rsidRDefault="00AF502C" w:rsidP="00AF502C">
      <w:pPr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AF502C" w:rsidRPr="00AF502C" w:rsidRDefault="00AF502C" w:rsidP="00AF502C">
      <w:pPr>
        <w:jc w:val="left"/>
        <w:rPr>
          <w:rFonts w:eastAsia="Times New Roman" w:cs="Times New Roman"/>
          <w:sz w:val="28"/>
          <w:szCs w:val="28"/>
          <w:lang w:eastAsia="ru-RU"/>
        </w:rPr>
      </w:pPr>
    </w:p>
    <w:p w:rsidR="001833C9" w:rsidRDefault="001833C9"/>
    <w:sectPr w:rsidR="001833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48C8" w:rsidRDefault="00BA48C8" w:rsidP="00AF502C">
      <w:r>
        <w:separator/>
      </w:r>
    </w:p>
  </w:endnote>
  <w:endnote w:type="continuationSeparator" w:id="0">
    <w:p w:rsidR="00BA48C8" w:rsidRDefault="00BA48C8" w:rsidP="00AF5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48C8" w:rsidRDefault="00BA48C8" w:rsidP="00AF502C">
      <w:r>
        <w:separator/>
      </w:r>
    </w:p>
  </w:footnote>
  <w:footnote w:type="continuationSeparator" w:id="0">
    <w:p w:rsidR="00BA48C8" w:rsidRDefault="00BA48C8" w:rsidP="00AF5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02C"/>
    <w:rsid w:val="00061213"/>
    <w:rsid w:val="000D667E"/>
    <w:rsid w:val="001833C9"/>
    <w:rsid w:val="004701EE"/>
    <w:rsid w:val="0048037D"/>
    <w:rsid w:val="00543DFA"/>
    <w:rsid w:val="005D6C30"/>
    <w:rsid w:val="00823290"/>
    <w:rsid w:val="00913898"/>
    <w:rsid w:val="00AF502C"/>
    <w:rsid w:val="00BA48C8"/>
    <w:rsid w:val="00D56726"/>
    <w:rsid w:val="00D666EE"/>
    <w:rsid w:val="00EE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67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7E"/>
    <w:rPr>
      <w:rFonts w:eastAsiaTheme="majorEastAsia" w:cstheme="majorBidi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F50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502C"/>
    <w:rPr>
      <w:sz w:val="20"/>
      <w:szCs w:val="20"/>
    </w:rPr>
  </w:style>
  <w:style w:type="character" w:styleId="a5">
    <w:name w:val="footnote reference"/>
    <w:uiPriority w:val="99"/>
    <w:rsid w:val="00AF502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61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3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D667E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67E"/>
    <w:rPr>
      <w:rFonts w:eastAsiaTheme="majorEastAsia" w:cstheme="majorBidi"/>
      <w:b/>
      <w:bCs/>
      <w:sz w:val="28"/>
      <w:szCs w:val="28"/>
    </w:rPr>
  </w:style>
  <w:style w:type="paragraph" w:styleId="a3">
    <w:name w:val="footnote text"/>
    <w:basedOn w:val="a"/>
    <w:link w:val="a4"/>
    <w:uiPriority w:val="99"/>
    <w:semiHidden/>
    <w:unhideWhenUsed/>
    <w:rsid w:val="00AF502C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F502C"/>
    <w:rPr>
      <w:sz w:val="20"/>
      <w:szCs w:val="20"/>
    </w:rPr>
  </w:style>
  <w:style w:type="character" w:styleId="a5">
    <w:name w:val="footnote reference"/>
    <w:uiPriority w:val="99"/>
    <w:rsid w:val="00AF502C"/>
    <w:rPr>
      <w:rFonts w:cs="Times New Roman"/>
      <w:vertAlign w:val="superscript"/>
    </w:rPr>
  </w:style>
  <w:style w:type="paragraph" w:styleId="a6">
    <w:name w:val="List Paragraph"/>
    <w:basedOn w:val="a"/>
    <w:uiPriority w:val="34"/>
    <w:qFormat/>
    <w:rsid w:val="0006121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E773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77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2023-04-12T11:26:00Z</cp:lastPrinted>
  <dcterms:created xsi:type="dcterms:W3CDTF">2023-04-12T13:15:00Z</dcterms:created>
  <dcterms:modified xsi:type="dcterms:W3CDTF">2023-04-12T13:15:00Z</dcterms:modified>
</cp:coreProperties>
</file>